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0" w:type="dxa"/>
        <w:jc w:val="center"/>
        <w:tblCellSpacing w:w="15" w:type="dxa"/>
        <w:tblCellMar>
          <w:left w:w="0" w:type="dxa"/>
          <w:right w:w="0" w:type="dxa"/>
        </w:tblCellMar>
        <w:tblLook w:val="04A0" w:firstRow="1" w:lastRow="0" w:firstColumn="1" w:lastColumn="0" w:noHBand="0" w:noVBand="1"/>
      </w:tblPr>
      <w:tblGrid>
        <w:gridCol w:w="9120"/>
      </w:tblGrid>
      <w:tr w:rsidR="00365D1E" w:rsidRPr="00365D1E" w14:paraId="54E57FCD" w14:textId="77777777" w:rsidTr="00365D1E">
        <w:trPr>
          <w:tblCellSpacing w:w="15" w:type="dxa"/>
          <w:jc w:val="center"/>
        </w:trPr>
        <w:tc>
          <w:tcPr>
            <w:tcW w:w="8970" w:type="dxa"/>
            <w:tcMar>
              <w:top w:w="15" w:type="dxa"/>
              <w:left w:w="15" w:type="dxa"/>
              <w:bottom w:w="15" w:type="dxa"/>
              <w:right w:w="15" w:type="dxa"/>
            </w:tcMar>
            <w:vAlign w:val="center"/>
            <w:hideMark/>
          </w:tcPr>
          <w:p w14:paraId="2F7920A1" w14:textId="5AFAB2C4" w:rsidR="00365D1E" w:rsidRPr="00365D1E" w:rsidRDefault="00365D1E" w:rsidP="00365D1E">
            <w:r w:rsidRPr="00365D1E">
              <w:drawing>
                <wp:inline distT="0" distB="0" distL="0" distR="0" wp14:anchorId="2A36CB50" wp14:editId="65A08AD3">
                  <wp:extent cx="5731510" cy="1894205"/>
                  <wp:effectExtent l="0" t="0" r="2540" b="0"/>
                  <wp:docPr id="1957616705" name="Picture 4" descr="Fie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eo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894205"/>
                          </a:xfrm>
                          <a:prstGeom prst="rect">
                            <a:avLst/>
                          </a:prstGeom>
                          <a:noFill/>
                          <a:ln>
                            <a:noFill/>
                          </a:ln>
                        </pic:spPr>
                      </pic:pic>
                    </a:graphicData>
                  </a:graphic>
                </wp:inline>
              </w:drawing>
            </w:r>
          </w:p>
        </w:tc>
      </w:tr>
      <w:tr w:rsidR="00365D1E" w:rsidRPr="00365D1E" w14:paraId="4C584F88" w14:textId="77777777" w:rsidTr="00365D1E">
        <w:trPr>
          <w:tblCellSpacing w:w="15" w:type="dxa"/>
          <w:jc w:val="center"/>
        </w:trPr>
        <w:tc>
          <w:tcPr>
            <w:tcW w:w="8970" w:type="dxa"/>
            <w:tcMar>
              <w:top w:w="15" w:type="dxa"/>
              <w:left w:w="15" w:type="dxa"/>
              <w:bottom w:w="15" w:type="dxa"/>
              <w:right w:w="15" w:type="dxa"/>
            </w:tcMar>
            <w:vAlign w:val="center"/>
            <w:hideMark/>
          </w:tcPr>
          <w:p w14:paraId="0364C7F9" w14:textId="77777777" w:rsidR="00365D1E" w:rsidRPr="00365D1E" w:rsidRDefault="00365D1E" w:rsidP="00365D1E">
            <w:r w:rsidRPr="00365D1E">
              <w:t>To,</w:t>
            </w:r>
          </w:p>
        </w:tc>
      </w:tr>
      <w:tr w:rsidR="00365D1E" w:rsidRPr="00365D1E" w14:paraId="598860F8" w14:textId="77777777" w:rsidTr="00365D1E">
        <w:trPr>
          <w:tblCellSpacing w:w="15" w:type="dxa"/>
          <w:jc w:val="center"/>
        </w:trPr>
        <w:tc>
          <w:tcPr>
            <w:tcW w:w="8970" w:type="dxa"/>
            <w:tcMar>
              <w:top w:w="15" w:type="dxa"/>
              <w:left w:w="15" w:type="dxa"/>
              <w:bottom w:w="15" w:type="dxa"/>
              <w:right w:w="15" w:type="dxa"/>
            </w:tcMar>
            <w:vAlign w:val="center"/>
          </w:tcPr>
          <w:p w14:paraId="72EFF775" w14:textId="77777777" w:rsidR="00365D1E" w:rsidRPr="00365D1E" w:rsidRDefault="00365D1E" w:rsidP="00365D1E">
            <w:r w:rsidRPr="00365D1E">
              <w:t xml:space="preserve">FIEO/NR/2(5)/2024-25                                                                                 </w:t>
            </w:r>
          </w:p>
          <w:p w14:paraId="7AF548A6" w14:textId="77777777" w:rsidR="00365D1E" w:rsidRPr="00365D1E" w:rsidRDefault="00365D1E" w:rsidP="00365D1E">
            <w:r w:rsidRPr="00365D1E">
              <w:t>October 09, 2024</w:t>
            </w:r>
          </w:p>
          <w:p w14:paraId="2EF0FFF7" w14:textId="77777777" w:rsidR="00365D1E" w:rsidRPr="00365D1E" w:rsidRDefault="00365D1E" w:rsidP="00365D1E">
            <w:r w:rsidRPr="00365D1E">
              <w:t>Dear· Member(s),</w:t>
            </w:r>
          </w:p>
          <w:p w14:paraId="6E9883B7" w14:textId="77777777" w:rsidR="00365D1E" w:rsidRPr="00365D1E" w:rsidRDefault="00365D1E" w:rsidP="00365D1E">
            <w:r w:rsidRPr="00365D1E">
              <w:rPr>
                <w:b/>
                <w:bCs/>
              </w:rPr>
              <w:t> 10</w:t>
            </w:r>
            <w:r w:rsidRPr="00365D1E">
              <w:rPr>
                <w:b/>
                <w:bCs/>
                <w:vertAlign w:val="superscript"/>
              </w:rPr>
              <w:t>th</w:t>
            </w:r>
            <w:r w:rsidRPr="00365D1E">
              <w:rPr>
                <w:b/>
                <w:bCs/>
              </w:rPr>
              <w:t xml:space="preserve"> Edition of POWERELEC NIGERIA 2025 at LAGOS</w:t>
            </w:r>
            <w:r w:rsidRPr="00365D1E">
              <w:br/>
            </w:r>
            <w:r w:rsidRPr="00365D1E">
              <w:rPr>
                <w:b/>
                <w:bCs/>
              </w:rPr>
              <w:t>(Airfare Reimbursement up to INR 1,50,000/-)</w:t>
            </w:r>
          </w:p>
          <w:p w14:paraId="6C01ED47" w14:textId="77777777" w:rsidR="00365D1E" w:rsidRPr="00365D1E" w:rsidRDefault="00365D1E" w:rsidP="00365D1E">
            <w:r w:rsidRPr="00365D1E">
              <w:t> </w:t>
            </w:r>
          </w:p>
          <w:p w14:paraId="20F8A8EB" w14:textId="77777777" w:rsidR="00365D1E" w:rsidRPr="00365D1E" w:rsidRDefault="00365D1E" w:rsidP="00365D1E">
            <w:r w:rsidRPr="00365D1E">
              <w:t>                              We are pleased to inform you that FIEO is organizing participation of Indian companies in the PowerElec Nigeria in Lagos, Nigeria to be held as per the following schedule:</w:t>
            </w:r>
          </w:p>
          <w:p w14:paraId="7E74F70A" w14:textId="77777777" w:rsidR="00365D1E" w:rsidRPr="00365D1E" w:rsidRDefault="00365D1E" w:rsidP="00365D1E">
            <w:r w:rsidRPr="00365D1E">
              <w:rPr>
                <w:b/>
                <w:bCs/>
              </w:rPr>
              <w:t>Event Dates   : 13 – 15 January, 2025 (Monday to Wednesday)</w:t>
            </w:r>
          </w:p>
          <w:p w14:paraId="68363942" w14:textId="77777777" w:rsidR="00365D1E" w:rsidRPr="00365D1E" w:rsidRDefault="00365D1E" w:rsidP="00365D1E">
            <w:r w:rsidRPr="00365D1E">
              <w:rPr>
                <w:b/>
                <w:bCs/>
              </w:rPr>
              <w:t>Venue             : Landmark Centre, Victoria Island, Lagos, Nigeria</w:t>
            </w:r>
          </w:p>
          <w:p w14:paraId="033F9849" w14:textId="77777777" w:rsidR="00365D1E" w:rsidRPr="00365D1E" w:rsidRDefault="00365D1E" w:rsidP="00365D1E">
            <w:r w:rsidRPr="00365D1E">
              <w:rPr>
                <w:b/>
                <w:bCs/>
              </w:rPr>
              <w:t>Timings          : 10:00 am to 05:00 pm (Local Nigeria Time)</w:t>
            </w:r>
          </w:p>
          <w:p w14:paraId="39C1CCEF" w14:textId="77777777" w:rsidR="00365D1E" w:rsidRPr="00365D1E" w:rsidRDefault="00365D1E" w:rsidP="00365D1E">
            <w:r w:rsidRPr="00365D1E">
              <w:t> </w:t>
            </w:r>
          </w:p>
          <w:p w14:paraId="5ADFD14E" w14:textId="77777777" w:rsidR="00365D1E" w:rsidRPr="00365D1E" w:rsidRDefault="00365D1E" w:rsidP="00365D1E">
            <w:r w:rsidRPr="00365D1E">
              <w:t>India and Nigeria have strong and deep-rooted historical ties that stretch across economic and cultural spectrums. At present, India is Nigeria’s largest trading partner. The bilateral trade between India and Nigeria has grown over the years. India’s exports to the country stood at USD 3.6 Billion in 2023-2024. Nigeria with a population of 196 million is sharing borders with Benin, Niger, Chad and Cameroon.</w:t>
            </w:r>
          </w:p>
          <w:p w14:paraId="576D7E11" w14:textId="77777777" w:rsidR="00365D1E" w:rsidRPr="00365D1E" w:rsidRDefault="00365D1E" w:rsidP="00365D1E">
            <w:r w:rsidRPr="00365D1E">
              <w:t>Nigeria is the largest economy in sub-Saharan Africa, but limitations in the power sector constrain its growth. Nigeria is endowed with large oil, gas, hydro and solar resources, and it has the potential to generate 12,522 MW of electric power from existing plants.</w:t>
            </w:r>
          </w:p>
          <w:p w14:paraId="1E8A3F20" w14:textId="77777777" w:rsidR="00365D1E" w:rsidRPr="00365D1E" w:rsidRDefault="00365D1E" w:rsidP="00365D1E">
            <w:r w:rsidRPr="00365D1E">
              <w:rPr>
                <w:b/>
                <w:bCs/>
                <w:u w:val="single"/>
              </w:rPr>
              <w:t>THE EVENT:</w:t>
            </w:r>
          </w:p>
          <w:p w14:paraId="38A46626" w14:textId="77777777" w:rsidR="00365D1E" w:rsidRPr="00365D1E" w:rsidRDefault="00365D1E" w:rsidP="00365D1E">
            <w:r w:rsidRPr="00365D1E">
              <w:t>POWERELEC NIGERIA is an exclusive B2B &amp; Expo set for Indian Exporters to get connected with the key stakeholders &amp; decision-makers in the Power &amp; Electronics sector in the West African Region. Procurement managers and suppliers will get to interact with Indian exporters and will enable them to strike bulk deals to ensure seamless operations. It’s a win-win situation for all stakeholders in the sourcing business for the entire value chain.</w:t>
            </w:r>
          </w:p>
          <w:p w14:paraId="15EF8A23" w14:textId="77777777" w:rsidR="00365D1E" w:rsidRPr="00365D1E" w:rsidRDefault="00365D1E" w:rsidP="00365D1E">
            <w:pPr>
              <w:numPr>
                <w:ilvl w:val="0"/>
                <w:numId w:val="2"/>
              </w:numPr>
            </w:pPr>
            <w:r w:rsidRPr="00365D1E">
              <w:rPr>
                <w:b/>
                <w:bCs/>
                <w:u w:val="single"/>
              </w:rPr>
              <w:lastRenderedPageBreak/>
              <w:t>EXHIBIT PROFILE:</w:t>
            </w:r>
          </w:p>
          <w:p w14:paraId="21931B63" w14:textId="77777777" w:rsidR="00365D1E" w:rsidRPr="00365D1E" w:rsidRDefault="00365D1E" w:rsidP="00365D1E">
            <w:pPr>
              <w:numPr>
                <w:ilvl w:val="0"/>
                <w:numId w:val="2"/>
              </w:numPr>
            </w:pPr>
            <w:r w:rsidRPr="00365D1E">
              <w:t> </w:t>
            </w:r>
          </w:p>
          <w:p w14:paraId="238E610F" w14:textId="77777777" w:rsidR="00365D1E" w:rsidRPr="00365D1E" w:rsidRDefault="00365D1E" w:rsidP="00365D1E">
            <w:pPr>
              <w:numPr>
                <w:ilvl w:val="0"/>
                <w:numId w:val="2"/>
              </w:numPr>
            </w:pPr>
            <w:r w:rsidRPr="00365D1E">
              <w:t>FIEO Pavilion will showcase the following exhibit categories in the PowerElec Nigeria 2023:</w:t>
            </w:r>
          </w:p>
          <w:p w14:paraId="282E49DA" w14:textId="77777777" w:rsidR="00365D1E" w:rsidRPr="00365D1E" w:rsidRDefault="00365D1E" w:rsidP="00365D1E">
            <w:pPr>
              <w:numPr>
                <w:ilvl w:val="0"/>
                <w:numId w:val="2"/>
              </w:numPr>
            </w:pPr>
            <w:r w:rsidRPr="00365D1E">
              <w:t> </w:t>
            </w:r>
          </w:p>
          <w:p w14:paraId="12D3FC07" w14:textId="77777777" w:rsidR="00365D1E" w:rsidRPr="00365D1E" w:rsidRDefault="00365D1E" w:rsidP="00365D1E">
            <w:pPr>
              <w:numPr>
                <w:ilvl w:val="0"/>
                <w:numId w:val="2"/>
              </w:numPr>
            </w:pPr>
            <w:r w:rsidRPr="00365D1E">
              <w:t xml:space="preserve">Ø  </w:t>
            </w:r>
            <w:r w:rsidRPr="00365D1E">
              <w:rPr>
                <w:b/>
                <w:bCs/>
              </w:rPr>
              <w:t>Captive and Co-generation Plants, Geo Thermal, Thermal Power, Decentralised Generation, New &amp; Renewable Energy Plants</w:t>
            </w:r>
          </w:p>
          <w:p w14:paraId="69784520" w14:textId="77777777" w:rsidR="00365D1E" w:rsidRPr="00365D1E" w:rsidRDefault="00365D1E" w:rsidP="00365D1E">
            <w:pPr>
              <w:numPr>
                <w:ilvl w:val="0"/>
                <w:numId w:val="2"/>
              </w:numPr>
            </w:pPr>
            <w:r w:rsidRPr="00365D1E">
              <w:t> </w:t>
            </w:r>
          </w:p>
          <w:p w14:paraId="4600B963" w14:textId="77777777" w:rsidR="00365D1E" w:rsidRPr="00365D1E" w:rsidRDefault="00365D1E" w:rsidP="00365D1E">
            <w:pPr>
              <w:numPr>
                <w:ilvl w:val="0"/>
                <w:numId w:val="2"/>
              </w:numPr>
            </w:pPr>
            <w:r w:rsidRPr="00365D1E">
              <w:t>·        Generators and Diesel Generating Sets</w:t>
            </w:r>
          </w:p>
          <w:p w14:paraId="24D4DFDC" w14:textId="77777777" w:rsidR="00365D1E" w:rsidRPr="00365D1E" w:rsidRDefault="00365D1E" w:rsidP="00365D1E">
            <w:pPr>
              <w:numPr>
                <w:ilvl w:val="0"/>
                <w:numId w:val="2"/>
              </w:numPr>
            </w:pPr>
            <w:r w:rsidRPr="00365D1E">
              <w:t>·        Wind and Solar Power Equipment</w:t>
            </w:r>
          </w:p>
          <w:p w14:paraId="159CCD0C" w14:textId="77777777" w:rsidR="00365D1E" w:rsidRPr="00365D1E" w:rsidRDefault="00365D1E" w:rsidP="00365D1E">
            <w:pPr>
              <w:numPr>
                <w:ilvl w:val="0"/>
                <w:numId w:val="2"/>
              </w:numPr>
            </w:pPr>
            <w:r w:rsidRPr="00365D1E">
              <w:t>·        Electric Drives, Batteries, Inverters, UPS Systems</w:t>
            </w:r>
          </w:p>
          <w:p w14:paraId="3B72FBD5" w14:textId="77777777" w:rsidR="00365D1E" w:rsidRPr="00365D1E" w:rsidRDefault="00365D1E" w:rsidP="00365D1E">
            <w:pPr>
              <w:numPr>
                <w:ilvl w:val="0"/>
                <w:numId w:val="2"/>
              </w:numPr>
            </w:pPr>
            <w:r w:rsidRPr="00365D1E">
              <w:t> </w:t>
            </w:r>
          </w:p>
          <w:p w14:paraId="4533F63E" w14:textId="77777777" w:rsidR="00365D1E" w:rsidRPr="00365D1E" w:rsidRDefault="00365D1E" w:rsidP="00365D1E">
            <w:pPr>
              <w:numPr>
                <w:ilvl w:val="0"/>
                <w:numId w:val="2"/>
              </w:numPr>
            </w:pPr>
            <w:r w:rsidRPr="00365D1E">
              <w:t xml:space="preserve">Ø  </w:t>
            </w:r>
            <w:r w:rsidRPr="00365D1E">
              <w:rPr>
                <w:b/>
                <w:bCs/>
              </w:rPr>
              <w:t>Transmission&amp; Distribution Equipment</w:t>
            </w:r>
          </w:p>
          <w:p w14:paraId="757A7685" w14:textId="77777777" w:rsidR="00365D1E" w:rsidRPr="00365D1E" w:rsidRDefault="00365D1E" w:rsidP="00365D1E">
            <w:pPr>
              <w:numPr>
                <w:ilvl w:val="0"/>
                <w:numId w:val="2"/>
              </w:numPr>
            </w:pPr>
            <w:r w:rsidRPr="00365D1E">
              <w:t> </w:t>
            </w:r>
          </w:p>
          <w:p w14:paraId="7621CFE3" w14:textId="77777777" w:rsidR="00365D1E" w:rsidRPr="00365D1E" w:rsidRDefault="00365D1E" w:rsidP="00365D1E">
            <w:pPr>
              <w:numPr>
                <w:ilvl w:val="0"/>
                <w:numId w:val="2"/>
              </w:numPr>
            </w:pPr>
            <w:r w:rsidRPr="00365D1E">
              <w:t>·        Transmission Lines, Towers &amp; Accessories</w:t>
            </w:r>
          </w:p>
          <w:p w14:paraId="0A31362C" w14:textId="77777777" w:rsidR="00365D1E" w:rsidRPr="00365D1E" w:rsidRDefault="00365D1E" w:rsidP="00365D1E">
            <w:pPr>
              <w:numPr>
                <w:ilvl w:val="0"/>
                <w:numId w:val="2"/>
              </w:numPr>
            </w:pPr>
            <w:r w:rsidRPr="00365D1E">
              <w:t>·        Sub Station Equipment</w:t>
            </w:r>
          </w:p>
          <w:p w14:paraId="1CF7EF75" w14:textId="77777777" w:rsidR="00365D1E" w:rsidRPr="00365D1E" w:rsidRDefault="00365D1E" w:rsidP="00365D1E">
            <w:pPr>
              <w:numPr>
                <w:ilvl w:val="0"/>
                <w:numId w:val="2"/>
              </w:numPr>
            </w:pPr>
            <w:r w:rsidRPr="00365D1E">
              <w:t>·        Power and Distribution Transformers</w:t>
            </w:r>
          </w:p>
          <w:p w14:paraId="6EAA1B31" w14:textId="77777777" w:rsidR="00365D1E" w:rsidRPr="00365D1E" w:rsidRDefault="00365D1E" w:rsidP="00365D1E">
            <w:pPr>
              <w:numPr>
                <w:ilvl w:val="0"/>
                <w:numId w:val="2"/>
              </w:numPr>
            </w:pPr>
            <w:r w:rsidRPr="00365D1E">
              <w:t>·        Switchgear and Control gear</w:t>
            </w:r>
          </w:p>
          <w:p w14:paraId="0EE20FC7" w14:textId="77777777" w:rsidR="00365D1E" w:rsidRPr="00365D1E" w:rsidRDefault="00365D1E" w:rsidP="00365D1E">
            <w:pPr>
              <w:numPr>
                <w:ilvl w:val="0"/>
                <w:numId w:val="2"/>
              </w:numPr>
            </w:pPr>
            <w:r w:rsidRPr="00365D1E">
              <w:t>·        Measuring Instruments and meters</w:t>
            </w:r>
          </w:p>
          <w:p w14:paraId="11840B34" w14:textId="77777777" w:rsidR="00365D1E" w:rsidRPr="00365D1E" w:rsidRDefault="00365D1E" w:rsidP="00365D1E">
            <w:pPr>
              <w:numPr>
                <w:ilvl w:val="0"/>
                <w:numId w:val="2"/>
              </w:numPr>
            </w:pPr>
            <w:r w:rsidRPr="00365D1E">
              <w:t>·        Cables and Conductors</w:t>
            </w:r>
          </w:p>
          <w:p w14:paraId="11AE8F6D" w14:textId="77777777" w:rsidR="00365D1E" w:rsidRPr="00365D1E" w:rsidRDefault="00365D1E" w:rsidP="00365D1E">
            <w:pPr>
              <w:numPr>
                <w:ilvl w:val="0"/>
                <w:numId w:val="2"/>
              </w:numPr>
            </w:pPr>
            <w:r w:rsidRPr="00365D1E">
              <w:t>·        Cabling and Wiring Products and accessories</w:t>
            </w:r>
          </w:p>
          <w:p w14:paraId="70C111A6" w14:textId="77777777" w:rsidR="00365D1E" w:rsidRPr="00365D1E" w:rsidRDefault="00365D1E" w:rsidP="00365D1E">
            <w:pPr>
              <w:numPr>
                <w:ilvl w:val="0"/>
                <w:numId w:val="2"/>
              </w:numPr>
            </w:pPr>
            <w:r w:rsidRPr="00365D1E">
              <w:t>·        Capacitors, Insulators, Insulation Materials and Electrical Components</w:t>
            </w:r>
          </w:p>
          <w:p w14:paraId="39CF1154" w14:textId="77777777" w:rsidR="00365D1E" w:rsidRPr="00365D1E" w:rsidRDefault="00365D1E" w:rsidP="00365D1E">
            <w:pPr>
              <w:numPr>
                <w:ilvl w:val="0"/>
                <w:numId w:val="2"/>
              </w:numPr>
            </w:pPr>
            <w:r w:rsidRPr="00365D1E">
              <w:t>·        Equipment for Alternate Sources of Energy</w:t>
            </w:r>
          </w:p>
          <w:p w14:paraId="57D89F74" w14:textId="77777777" w:rsidR="00365D1E" w:rsidRPr="00365D1E" w:rsidRDefault="00365D1E" w:rsidP="00365D1E">
            <w:pPr>
              <w:numPr>
                <w:ilvl w:val="0"/>
                <w:numId w:val="2"/>
              </w:numPr>
            </w:pPr>
            <w:r w:rsidRPr="00365D1E">
              <w:t> </w:t>
            </w:r>
          </w:p>
          <w:p w14:paraId="2C69FA1C" w14:textId="77777777" w:rsidR="00365D1E" w:rsidRPr="00365D1E" w:rsidRDefault="00365D1E" w:rsidP="00365D1E">
            <w:pPr>
              <w:numPr>
                <w:ilvl w:val="0"/>
                <w:numId w:val="2"/>
              </w:numPr>
            </w:pPr>
            <w:r w:rsidRPr="00365D1E">
              <w:t xml:space="preserve">Ø  </w:t>
            </w:r>
            <w:r w:rsidRPr="00365D1E">
              <w:rPr>
                <w:b/>
                <w:bCs/>
              </w:rPr>
              <w:t>Utilisation, Controlling and Measuring Equipment</w:t>
            </w:r>
          </w:p>
          <w:p w14:paraId="78ACDD42" w14:textId="77777777" w:rsidR="00365D1E" w:rsidRPr="00365D1E" w:rsidRDefault="00365D1E" w:rsidP="00365D1E">
            <w:pPr>
              <w:numPr>
                <w:ilvl w:val="0"/>
                <w:numId w:val="2"/>
              </w:numPr>
            </w:pPr>
            <w:r w:rsidRPr="00365D1E">
              <w:t> </w:t>
            </w:r>
          </w:p>
          <w:p w14:paraId="1AB12C0F" w14:textId="77777777" w:rsidR="00365D1E" w:rsidRPr="00365D1E" w:rsidRDefault="00365D1E" w:rsidP="00365D1E">
            <w:pPr>
              <w:numPr>
                <w:ilvl w:val="0"/>
                <w:numId w:val="2"/>
              </w:numPr>
            </w:pPr>
            <w:r w:rsidRPr="00365D1E">
              <w:t>·        Household Electrical Appliances and Products</w:t>
            </w:r>
          </w:p>
          <w:p w14:paraId="19F3F153" w14:textId="77777777" w:rsidR="00365D1E" w:rsidRPr="00365D1E" w:rsidRDefault="00365D1E" w:rsidP="00365D1E">
            <w:pPr>
              <w:numPr>
                <w:ilvl w:val="0"/>
                <w:numId w:val="2"/>
              </w:numPr>
            </w:pPr>
            <w:r w:rsidRPr="00365D1E">
              <w:t>·        Safety Systems and Devices</w:t>
            </w:r>
          </w:p>
          <w:p w14:paraId="3E7DC7A2" w14:textId="77777777" w:rsidR="00365D1E" w:rsidRPr="00365D1E" w:rsidRDefault="00365D1E" w:rsidP="00365D1E">
            <w:pPr>
              <w:numPr>
                <w:ilvl w:val="0"/>
                <w:numId w:val="2"/>
              </w:numPr>
            </w:pPr>
            <w:r w:rsidRPr="00365D1E">
              <w:t>·        Lighting Systems and Solutions, Lighting Fixtures and Accessories</w:t>
            </w:r>
          </w:p>
          <w:p w14:paraId="7A605A74" w14:textId="77777777" w:rsidR="00365D1E" w:rsidRPr="00365D1E" w:rsidRDefault="00365D1E" w:rsidP="00365D1E">
            <w:pPr>
              <w:numPr>
                <w:ilvl w:val="0"/>
                <w:numId w:val="2"/>
              </w:numPr>
            </w:pPr>
            <w:r w:rsidRPr="00365D1E">
              <w:t>·        Lamps and LEDs</w:t>
            </w:r>
          </w:p>
          <w:p w14:paraId="5D7B14B7" w14:textId="77777777" w:rsidR="00365D1E" w:rsidRPr="00365D1E" w:rsidRDefault="00365D1E" w:rsidP="00365D1E">
            <w:pPr>
              <w:numPr>
                <w:ilvl w:val="0"/>
                <w:numId w:val="2"/>
              </w:numPr>
            </w:pPr>
            <w:r w:rsidRPr="00365D1E">
              <w:t>·        Regulating and Control Equipment</w:t>
            </w:r>
          </w:p>
          <w:p w14:paraId="55D6A4FE" w14:textId="77777777" w:rsidR="00365D1E" w:rsidRPr="00365D1E" w:rsidRDefault="00365D1E" w:rsidP="00365D1E">
            <w:pPr>
              <w:numPr>
                <w:ilvl w:val="0"/>
                <w:numId w:val="2"/>
              </w:numPr>
            </w:pPr>
            <w:r w:rsidRPr="00365D1E">
              <w:t>·        Automation Systems</w:t>
            </w:r>
          </w:p>
          <w:p w14:paraId="26848F6C" w14:textId="77777777" w:rsidR="00365D1E" w:rsidRPr="00365D1E" w:rsidRDefault="00365D1E" w:rsidP="00365D1E">
            <w:pPr>
              <w:numPr>
                <w:ilvl w:val="0"/>
                <w:numId w:val="2"/>
              </w:numPr>
            </w:pPr>
            <w:r w:rsidRPr="00365D1E">
              <w:lastRenderedPageBreak/>
              <w:t>·        Building Automation Products</w:t>
            </w:r>
          </w:p>
          <w:p w14:paraId="467EF255" w14:textId="77777777" w:rsidR="00365D1E" w:rsidRPr="00365D1E" w:rsidRDefault="00365D1E" w:rsidP="00365D1E">
            <w:pPr>
              <w:numPr>
                <w:ilvl w:val="0"/>
                <w:numId w:val="2"/>
              </w:numPr>
            </w:pPr>
            <w:r w:rsidRPr="00365D1E">
              <w:t>·        Rotating Machines</w:t>
            </w:r>
          </w:p>
          <w:p w14:paraId="0F238764" w14:textId="77777777" w:rsidR="00365D1E" w:rsidRPr="00365D1E" w:rsidRDefault="00365D1E" w:rsidP="00365D1E">
            <w:pPr>
              <w:numPr>
                <w:ilvl w:val="0"/>
                <w:numId w:val="2"/>
              </w:numPr>
            </w:pPr>
            <w:r w:rsidRPr="00365D1E">
              <w:t>·        Energy Saving Equipment</w:t>
            </w:r>
          </w:p>
          <w:p w14:paraId="610DB901" w14:textId="77777777" w:rsidR="00365D1E" w:rsidRPr="00365D1E" w:rsidRDefault="00365D1E" w:rsidP="00365D1E">
            <w:pPr>
              <w:numPr>
                <w:ilvl w:val="0"/>
                <w:numId w:val="2"/>
              </w:numPr>
            </w:pPr>
            <w:r w:rsidRPr="00365D1E">
              <w:t> </w:t>
            </w:r>
          </w:p>
          <w:p w14:paraId="667F459C" w14:textId="77777777" w:rsidR="00365D1E" w:rsidRPr="00365D1E" w:rsidRDefault="00365D1E" w:rsidP="00365D1E">
            <w:pPr>
              <w:numPr>
                <w:ilvl w:val="0"/>
                <w:numId w:val="2"/>
              </w:numPr>
            </w:pPr>
            <w:r w:rsidRPr="00365D1E">
              <w:t> </w:t>
            </w:r>
            <w:r w:rsidRPr="00365D1E">
              <w:rPr>
                <w:b/>
                <w:bCs/>
                <w:u w:val="single"/>
              </w:rPr>
              <w:t>VISITORS PROFILE:</w:t>
            </w:r>
          </w:p>
          <w:p w14:paraId="3B9E613E" w14:textId="77777777" w:rsidR="00365D1E" w:rsidRPr="00365D1E" w:rsidRDefault="00365D1E" w:rsidP="00365D1E">
            <w:pPr>
              <w:numPr>
                <w:ilvl w:val="0"/>
                <w:numId w:val="2"/>
              </w:numPr>
            </w:pPr>
            <w:r w:rsidRPr="00365D1E">
              <w:t> </w:t>
            </w:r>
          </w:p>
          <w:p w14:paraId="46054CC2" w14:textId="77777777" w:rsidR="00365D1E" w:rsidRPr="00365D1E" w:rsidRDefault="00365D1E" w:rsidP="00365D1E">
            <w:pPr>
              <w:numPr>
                <w:ilvl w:val="0"/>
                <w:numId w:val="2"/>
              </w:numPr>
            </w:pPr>
            <w:r w:rsidRPr="00365D1E">
              <w:t>·        Utilities&amp; IPP’s Public and Municipal Utility Owners &amp; Managers</w:t>
            </w:r>
          </w:p>
          <w:p w14:paraId="545E8205" w14:textId="77777777" w:rsidR="00365D1E" w:rsidRPr="00365D1E" w:rsidRDefault="00365D1E" w:rsidP="00365D1E">
            <w:pPr>
              <w:numPr>
                <w:ilvl w:val="0"/>
                <w:numId w:val="2"/>
              </w:numPr>
            </w:pPr>
            <w:r w:rsidRPr="00365D1E">
              <w:t>·        Government and Regulatory Executives</w:t>
            </w:r>
          </w:p>
          <w:p w14:paraId="48AEE7F6" w14:textId="77777777" w:rsidR="00365D1E" w:rsidRPr="00365D1E" w:rsidRDefault="00365D1E" w:rsidP="00365D1E">
            <w:pPr>
              <w:numPr>
                <w:ilvl w:val="0"/>
                <w:numId w:val="2"/>
              </w:numPr>
            </w:pPr>
            <w:r w:rsidRPr="00365D1E">
              <w:t>·        Independent Power Producers    </w:t>
            </w:r>
          </w:p>
          <w:p w14:paraId="7905A2A7" w14:textId="77777777" w:rsidR="00365D1E" w:rsidRPr="00365D1E" w:rsidRDefault="00365D1E" w:rsidP="00365D1E">
            <w:pPr>
              <w:numPr>
                <w:ilvl w:val="0"/>
                <w:numId w:val="2"/>
              </w:numPr>
            </w:pPr>
            <w:r w:rsidRPr="00365D1E">
              <w:t>·        Original Equipment Manufacturers</w:t>
            </w:r>
          </w:p>
          <w:p w14:paraId="683DDC26" w14:textId="77777777" w:rsidR="00365D1E" w:rsidRPr="00365D1E" w:rsidRDefault="00365D1E" w:rsidP="00365D1E">
            <w:pPr>
              <w:numPr>
                <w:ilvl w:val="0"/>
                <w:numId w:val="2"/>
              </w:numPr>
            </w:pPr>
            <w:r w:rsidRPr="00365D1E">
              <w:t>·        Plants&amp; Project Management Power / Heat Plant Owners &amp; Operators</w:t>
            </w:r>
          </w:p>
          <w:p w14:paraId="283384D5" w14:textId="77777777" w:rsidR="00365D1E" w:rsidRPr="00365D1E" w:rsidRDefault="00365D1E" w:rsidP="00365D1E">
            <w:pPr>
              <w:numPr>
                <w:ilvl w:val="0"/>
                <w:numId w:val="2"/>
              </w:numPr>
            </w:pPr>
            <w:r w:rsidRPr="00365D1E">
              <w:t>·        Plant Service Sector</w:t>
            </w:r>
          </w:p>
          <w:p w14:paraId="5B7BAFDA" w14:textId="77777777" w:rsidR="00365D1E" w:rsidRPr="00365D1E" w:rsidRDefault="00365D1E" w:rsidP="00365D1E">
            <w:pPr>
              <w:numPr>
                <w:ilvl w:val="0"/>
                <w:numId w:val="2"/>
              </w:numPr>
            </w:pPr>
            <w:r w:rsidRPr="00365D1E">
              <w:t>·        Project Developers &amp; Managers</w:t>
            </w:r>
          </w:p>
          <w:p w14:paraId="33161B2F" w14:textId="77777777" w:rsidR="00365D1E" w:rsidRPr="00365D1E" w:rsidRDefault="00365D1E" w:rsidP="00365D1E">
            <w:pPr>
              <w:numPr>
                <w:ilvl w:val="0"/>
                <w:numId w:val="2"/>
              </w:numPr>
            </w:pPr>
            <w:r w:rsidRPr="00365D1E">
              <w:t>·        Engineers Design / Structural / Construction Engineers </w:t>
            </w:r>
          </w:p>
          <w:p w14:paraId="721D9D82" w14:textId="77777777" w:rsidR="00365D1E" w:rsidRPr="00365D1E" w:rsidRDefault="00365D1E" w:rsidP="00365D1E">
            <w:pPr>
              <w:numPr>
                <w:ilvl w:val="0"/>
                <w:numId w:val="2"/>
              </w:numPr>
            </w:pPr>
            <w:r w:rsidRPr="00365D1E">
              <w:t>·        Industrial Facilities Personnel Mechanical / Electrical Plant Engineers </w:t>
            </w:r>
          </w:p>
          <w:p w14:paraId="75307058" w14:textId="77777777" w:rsidR="00365D1E" w:rsidRPr="00365D1E" w:rsidRDefault="00365D1E" w:rsidP="00365D1E">
            <w:pPr>
              <w:numPr>
                <w:ilvl w:val="0"/>
                <w:numId w:val="2"/>
              </w:numPr>
            </w:pPr>
            <w:r w:rsidRPr="00365D1E">
              <w:t>·        Investors&amp; Advisors Strategic and Portfolio Investors</w:t>
            </w:r>
          </w:p>
          <w:p w14:paraId="5E52E45E" w14:textId="77777777" w:rsidR="00365D1E" w:rsidRPr="00365D1E" w:rsidRDefault="00365D1E" w:rsidP="00365D1E">
            <w:pPr>
              <w:numPr>
                <w:ilvl w:val="0"/>
                <w:numId w:val="2"/>
              </w:numPr>
            </w:pPr>
            <w:r w:rsidRPr="00365D1E">
              <w:t>·        Industry Consultants and Advisers   </w:t>
            </w:r>
          </w:p>
          <w:p w14:paraId="2D0FC27E" w14:textId="77777777" w:rsidR="00365D1E" w:rsidRPr="00365D1E" w:rsidRDefault="00365D1E" w:rsidP="00365D1E">
            <w:pPr>
              <w:numPr>
                <w:ilvl w:val="0"/>
                <w:numId w:val="2"/>
              </w:numPr>
            </w:pPr>
            <w:r w:rsidRPr="00365D1E">
              <w:t>·        Energy Traders &amp; Trade Press</w:t>
            </w:r>
          </w:p>
          <w:p w14:paraId="50A5152B" w14:textId="77777777" w:rsidR="00365D1E" w:rsidRPr="00365D1E" w:rsidRDefault="00365D1E" w:rsidP="00365D1E">
            <w:pPr>
              <w:numPr>
                <w:ilvl w:val="0"/>
                <w:numId w:val="2"/>
              </w:numPr>
            </w:pPr>
            <w:r w:rsidRPr="00365D1E">
              <w:t>·        Construction Engineers, Builders etc.</w:t>
            </w:r>
          </w:p>
          <w:p w14:paraId="6829F1B4" w14:textId="77777777" w:rsidR="00365D1E" w:rsidRPr="00365D1E" w:rsidRDefault="00365D1E" w:rsidP="00365D1E"/>
          <w:p w14:paraId="2C2A737D" w14:textId="77777777" w:rsidR="00365D1E" w:rsidRPr="00365D1E" w:rsidRDefault="00365D1E" w:rsidP="00365D1E">
            <w:r w:rsidRPr="00365D1E">
              <w:rPr>
                <w:b/>
                <w:bCs/>
                <w:u w:val="single"/>
              </w:rPr>
              <w:t>PARTICIPATION CHARGES:</w:t>
            </w:r>
          </w:p>
          <w:p w14:paraId="739D47DE" w14:textId="77777777" w:rsidR="00365D1E" w:rsidRPr="00365D1E" w:rsidRDefault="00365D1E" w:rsidP="00365D1E">
            <w:r w:rsidRPr="00365D1E">
              <w:t>The event is approved under Market Access Initiative (MAI) Scheme of the Ministry of Commerce &amp; Industry, Govt. of India. After taking into consideration the grant from the Ministry, the participation charges are:</w:t>
            </w:r>
          </w:p>
          <w:tbl>
            <w:tblPr>
              <w:tblW w:w="0" w:type="auto"/>
              <w:shd w:val="clear" w:color="auto" w:fill="FFFFFF"/>
              <w:tblCellMar>
                <w:left w:w="0" w:type="dxa"/>
                <w:right w:w="0" w:type="dxa"/>
              </w:tblCellMar>
              <w:tblLook w:val="04A0" w:firstRow="1" w:lastRow="0" w:firstColumn="1" w:lastColumn="0" w:noHBand="0" w:noVBand="1"/>
            </w:tblPr>
            <w:tblGrid>
              <w:gridCol w:w="9010"/>
            </w:tblGrid>
            <w:tr w:rsidR="00365D1E" w:rsidRPr="00365D1E" w14:paraId="10029184" w14:textId="77777777">
              <w:trPr>
                <w:trHeight w:val="665"/>
              </w:trPr>
              <w:tc>
                <w:tcPr>
                  <w:tcW w:w="92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DAF818" w14:textId="77777777" w:rsidR="00365D1E" w:rsidRPr="00365D1E" w:rsidRDefault="00365D1E" w:rsidP="00365D1E">
                  <w:r w:rsidRPr="00365D1E">
                    <w:rPr>
                      <w:b/>
                      <w:bCs/>
                    </w:rPr>
                    <w:t>FIEO Members:  @ 1,35,000/- INR *</w:t>
                  </w:r>
                </w:p>
                <w:p w14:paraId="326CB904" w14:textId="77777777" w:rsidR="00365D1E" w:rsidRPr="00365D1E" w:rsidRDefault="00365D1E" w:rsidP="00365D1E">
                  <w:r w:rsidRPr="00365D1E">
                    <w:rPr>
                      <w:b/>
                      <w:bCs/>
                    </w:rPr>
                    <w:t>FIEO Non-Members: @ 1,45,000/- INR *</w:t>
                  </w:r>
                </w:p>
              </w:tc>
            </w:tr>
            <w:tr w:rsidR="00365D1E" w:rsidRPr="00365D1E" w14:paraId="71814FFF" w14:textId="77777777">
              <w:trPr>
                <w:trHeight w:val="844"/>
              </w:trPr>
              <w:tc>
                <w:tcPr>
                  <w:tcW w:w="9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953E3C" w14:textId="77777777" w:rsidR="00365D1E" w:rsidRPr="00365D1E" w:rsidRDefault="00365D1E" w:rsidP="00365D1E">
                  <w:r w:rsidRPr="00365D1E">
                    <w:t xml:space="preserve">Participation Fees includes built up stall 9 sqm </w:t>
                  </w:r>
                  <w:r w:rsidRPr="00365D1E">
                    <w:rPr>
                      <w:b/>
                      <w:bCs/>
                    </w:rPr>
                    <w:t>(3m x 3m booth)</w:t>
                  </w:r>
                  <w:r w:rsidRPr="00365D1E">
                    <w:t xml:space="preserve"> having Elevated Fascia Branding with Company Name, Carpeting, Wall Panels, 3 lights, 2 chairs, one table, one socket, one dustbin, India pavilion branding </w:t>
                  </w:r>
                </w:p>
              </w:tc>
            </w:tr>
            <w:tr w:rsidR="00365D1E" w:rsidRPr="00365D1E" w14:paraId="17F362E2" w14:textId="77777777">
              <w:trPr>
                <w:trHeight w:val="1015"/>
              </w:trPr>
              <w:tc>
                <w:tcPr>
                  <w:tcW w:w="9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E6DF6D" w14:textId="77777777" w:rsidR="00365D1E" w:rsidRPr="00365D1E" w:rsidRDefault="00365D1E" w:rsidP="00365D1E">
                  <w:r w:rsidRPr="00365D1E">
                    <w:t>Note: This fee does not include sending display material, any additional fixtures &amp; furniture in the booth. These are to be borne by the companies.</w:t>
                  </w:r>
                </w:p>
                <w:p w14:paraId="1C1620C2" w14:textId="77777777" w:rsidR="00365D1E" w:rsidRPr="00365D1E" w:rsidRDefault="00365D1E" w:rsidP="00365D1E">
                  <w:r w:rsidRPr="00365D1E">
                    <w:rPr>
                      <w:b/>
                      <w:bCs/>
                    </w:rPr>
                    <w:t>*INR 10,000/- extra for Corner Booth</w:t>
                  </w:r>
                </w:p>
              </w:tc>
            </w:tr>
          </w:tbl>
          <w:p w14:paraId="6F25389D" w14:textId="77777777" w:rsidR="00365D1E" w:rsidRPr="00365D1E" w:rsidRDefault="00365D1E" w:rsidP="00365D1E">
            <w:r w:rsidRPr="00365D1E">
              <w:lastRenderedPageBreak/>
              <w:t> </w:t>
            </w:r>
          </w:p>
          <w:p w14:paraId="01F9C7F0" w14:textId="77777777" w:rsidR="00365D1E" w:rsidRPr="00365D1E" w:rsidRDefault="00365D1E" w:rsidP="00365D1E">
            <w:r w:rsidRPr="00365D1E">
              <w:rPr>
                <w:b/>
                <w:bCs/>
                <w:u w:val="single"/>
                <w:lang w:val="en-US"/>
              </w:rPr>
              <w:br w:type="page"/>
              <w:t>Details for RTGS/NEFT Payment: HDFC Bank Ltd</w:t>
            </w:r>
          </w:p>
          <w:p w14:paraId="6678010D" w14:textId="77777777" w:rsidR="00365D1E" w:rsidRPr="00365D1E" w:rsidRDefault="00365D1E" w:rsidP="00365D1E">
            <w:r w:rsidRPr="00365D1E">
              <w:rPr>
                <w:lang w:val="en-US"/>
              </w:rPr>
              <w:t> </w:t>
            </w:r>
          </w:p>
          <w:tbl>
            <w:tblPr>
              <w:tblW w:w="0" w:type="auto"/>
              <w:tblInd w:w="715" w:type="dxa"/>
              <w:tblCellMar>
                <w:left w:w="0" w:type="dxa"/>
                <w:right w:w="0" w:type="dxa"/>
              </w:tblCellMar>
              <w:tblLook w:val="04A0" w:firstRow="1" w:lastRow="0" w:firstColumn="1" w:lastColumn="0" w:noHBand="0" w:noVBand="1"/>
            </w:tblPr>
            <w:tblGrid>
              <w:gridCol w:w="1778"/>
              <w:gridCol w:w="6517"/>
            </w:tblGrid>
            <w:tr w:rsidR="00365D1E" w:rsidRPr="00365D1E" w14:paraId="7A51EF09" w14:textId="77777777">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CD38C7" w14:textId="77777777" w:rsidR="00365D1E" w:rsidRPr="00365D1E" w:rsidRDefault="00365D1E" w:rsidP="00365D1E">
                  <w:r w:rsidRPr="00365D1E">
                    <w:rPr>
                      <w:b/>
                      <w:bCs/>
                      <w:lang w:val="en-US"/>
                    </w:rPr>
                    <w:t>Bank Name</w:t>
                  </w:r>
                </w:p>
              </w:tc>
              <w:tc>
                <w:tcPr>
                  <w:tcW w:w="6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007E7BB" w14:textId="77777777" w:rsidR="00365D1E" w:rsidRPr="00365D1E" w:rsidRDefault="00365D1E" w:rsidP="00365D1E">
                  <w:r w:rsidRPr="00365D1E">
                    <w:rPr>
                      <w:b/>
                      <w:bCs/>
                      <w:lang w:val="en-US"/>
                    </w:rPr>
                    <w:t>HDFC Bank Ltd.</w:t>
                  </w:r>
                </w:p>
              </w:tc>
            </w:tr>
            <w:tr w:rsidR="00365D1E" w:rsidRPr="00365D1E" w14:paraId="33F3CD5E" w14:textId="77777777">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4C2115" w14:textId="77777777" w:rsidR="00365D1E" w:rsidRPr="00365D1E" w:rsidRDefault="00365D1E" w:rsidP="00365D1E">
                  <w:r w:rsidRPr="00365D1E">
                    <w:rPr>
                      <w:b/>
                      <w:bCs/>
                      <w:lang w:val="en-US"/>
                    </w:rPr>
                    <w:t>Bank Address</w:t>
                  </w:r>
                </w:p>
              </w:tc>
              <w:tc>
                <w:tcPr>
                  <w:tcW w:w="6835" w:type="dxa"/>
                  <w:tcBorders>
                    <w:top w:val="nil"/>
                    <w:left w:val="nil"/>
                    <w:bottom w:val="single" w:sz="8" w:space="0" w:color="000000"/>
                    <w:right w:val="single" w:sz="8" w:space="0" w:color="000000"/>
                  </w:tcBorders>
                  <w:tcMar>
                    <w:top w:w="0" w:type="dxa"/>
                    <w:left w:w="108" w:type="dxa"/>
                    <w:bottom w:w="0" w:type="dxa"/>
                    <w:right w:w="108" w:type="dxa"/>
                  </w:tcMar>
                  <w:hideMark/>
                </w:tcPr>
                <w:p w14:paraId="679E035C" w14:textId="77777777" w:rsidR="00365D1E" w:rsidRPr="00365D1E" w:rsidRDefault="00365D1E" w:rsidP="00365D1E">
                  <w:pPr>
                    <w:rPr>
                      <w:lang w:val="de-DE"/>
                    </w:rPr>
                  </w:pPr>
                  <w:r w:rsidRPr="00365D1E">
                    <w:rPr>
                      <w:b/>
                      <w:bCs/>
                      <w:lang w:val="de-DE"/>
                    </w:rPr>
                    <w:t>C-17, Anand Niketan, New Delhi-110021</w:t>
                  </w:r>
                </w:p>
              </w:tc>
            </w:tr>
            <w:tr w:rsidR="00365D1E" w:rsidRPr="00365D1E" w14:paraId="35B11A9D" w14:textId="77777777">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1A6D09" w14:textId="77777777" w:rsidR="00365D1E" w:rsidRPr="00365D1E" w:rsidRDefault="00365D1E" w:rsidP="00365D1E">
                  <w:r w:rsidRPr="00365D1E">
                    <w:rPr>
                      <w:b/>
                      <w:bCs/>
                      <w:lang w:val="en-US"/>
                    </w:rPr>
                    <w:t>Bank A/c</w:t>
                  </w:r>
                </w:p>
              </w:tc>
              <w:tc>
                <w:tcPr>
                  <w:tcW w:w="6835" w:type="dxa"/>
                  <w:tcBorders>
                    <w:top w:val="nil"/>
                    <w:left w:val="nil"/>
                    <w:bottom w:val="single" w:sz="8" w:space="0" w:color="000000"/>
                    <w:right w:val="single" w:sz="8" w:space="0" w:color="000000"/>
                  </w:tcBorders>
                  <w:tcMar>
                    <w:top w:w="0" w:type="dxa"/>
                    <w:left w:w="108" w:type="dxa"/>
                    <w:bottom w:w="0" w:type="dxa"/>
                    <w:right w:w="108" w:type="dxa"/>
                  </w:tcMar>
                  <w:hideMark/>
                </w:tcPr>
                <w:p w14:paraId="2FD5BC9A" w14:textId="77777777" w:rsidR="00365D1E" w:rsidRPr="00365D1E" w:rsidRDefault="00365D1E" w:rsidP="00365D1E">
                  <w:r w:rsidRPr="00365D1E">
                    <w:rPr>
                      <w:b/>
                      <w:bCs/>
                      <w:lang w:val="en-US"/>
                    </w:rPr>
                    <w:t>FIEO</w:t>
                  </w:r>
                </w:p>
              </w:tc>
            </w:tr>
            <w:tr w:rsidR="00365D1E" w:rsidRPr="00365D1E" w14:paraId="0871102E" w14:textId="77777777">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6DB7D" w14:textId="77777777" w:rsidR="00365D1E" w:rsidRPr="00365D1E" w:rsidRDefault="00365D1E" w:rsidP="00365D1E">
                  <w:r w:rsidRPr="00365D1E">
                    <w:rPr>
                      <w:b/>
                      <w:bCs/>
                      <w:lang w:val="en-US"/>
                    </w:rPr>
                    <w:t>Account No.</w:t>
                  </w:r>
                </w:p>
              </w:tc>
              <w:tc>
                <w:tcPr>
                  <w:tcW w:w="6835" w:type="dxa"/>
                  <w:tcBorders>
                    <w:top w:val="nil"/>
                    <w:left w:val="nil"/>
                    <w:bottom w:val="single" w:sz="8" w:space="0" w:color="000000"/>
                    <w:right w:val="single" w:sz="8" w:space="0" w:color="000000"/>
                  </w:tcBorders>
                  <w:tcMar>
                    <w:top w:w="0" w:type="dxa"/>
                    <w:left w:w="108" w:type="dxa"/>
                    <w:bottom w:w="0" w:type="dxa"/>
                    <w:right w:w="108" w:type="dxa"/>
                  </w:tcMar>
                  <w:hideMark/>
                </w:tcPr>
                <w:p w14:paraId="2D2F3E2D" w14:textId="77777777" w:rsidR="00365D1E" w:rsidRPr="00365D1E" w:rsidRDefault="00365D1E" w:rsidP="00365D1E">
                  <w:r w:rsidRPr="00365D1E">
                    <w:rPr>
                      <w:b/>
                      <w:bCs/>
                      <w:lang w:val="en-US"/>
                    </w:rPr>
                    <w:t>50100330645443</w:t>
                  </w:r>
                </w:p>
              </w:tc>
            </w:tr>
            <w:tr w:rsidR="00365D1E" w:rsidRPr="00365D1E" w14:paraId="18C9BCC6" w14:textId="77777777">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86614A" w14:textId="77777777" w:rsidR="00365D1E" w:rsidRPr="00365D1E" w:rsidRDefault="00365D1E" w:rsidP="00365D1E">
                  <w:r w:rsidRPr="00365D1E">
                    <w:rPr>
                      <w:b/>
                      <w:bCs/>
                      <w:lang w:val="en-US"/>
                    </w:rPr>
                    <w:t>MICR Code</w:t>
                  </w:r>
                </w:p>
              </w:tc>
              <w:tc>
                <w:tcPr>
                  <w:tcW w:w="6835" w:type="dxa"/>
                  <w:tcBorders>
                    <w:top w:val="nil"/>
                    <w:left w:val="nil"/>
                    <w:bottom w:val="single" w:sz="8" w:space="0" w:color="000000"/>
                    <w:right w:val="single" w:sz="8" w:space="0" w:color="000000"/>
                  </w:tcBorders>
                  <w:tcMar>
                    <w:top w:w="0" w:type="dxa"/>
                    <w:left w:w="108" w:type="dxa"/>
                    <w:bottom w:w="0" w:type="dxa"/>
                    <w:right w:w="108" w:type="dxa"/>
                  </w:tcMar>
                  <w:hideMark/>
                </w:tcPr>
                <w:p w14:paraId="624F5701" w14:textId="77777777" w:rsidR="00365D1E" w:rsidRPr="00365D1E" w:rsidRDefault="00365D1E" w:rsidP="00365D1E">
                  <w:r w:rsidRPr="00365D1E">
                    <w:rPr>
                      <w:b/>
                      <w:bCs/>
                      <w:lang w:val="en-US"/>
                    </w:rPr>
                    <w:t>110240054</w:t>
                  </w:r>
                </w:p>
              </w:tc>
            </w:tr>
            <w:tr w:rsidR="00365D1E" w:rsidRPr="00365D1E" w14:paraId="74C63E74" w14:textId="77777777">
              <w:tc>
                <w:tcPr>
                  <w:tcW w:w="1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5BB1A1" w14:textId="77777777" w:rsidR="00365D1E" w:rsidRPr="00365D1E" w:rsidRDefault="00365D1E" w:rsidP="00365D1E">
                  <w:r w:rsidRPr="00365D1E">
                    <w:rPr>
                      <w:b/>
                      <w:bCs/>
                      <w:lang w:val="en-US"/>
                    </w:rPr>
                    <w:t>IFSC</w:t>
                  </w:r>
                </w:p>
              </w:tc>
              <w:tc>
                <w:tcPr>
                  <w:tcW w:w="6835" w:type="dxa"/>
                  <w:tcBorders>
                    <w:top w:val="nil"/>
                    <w:left w:val="nil"/>
                    <w:bottom w:val="single" w:sz="8" w:space="0" w:color="000000"/>
                    <w:right w:val="single" w:sz="8" w:space="0" w:color="000000"/>
                  </w:tcBorders>
                  <w:tcMar>
                    <w:top w:w="0" w:type="dxa"/>
                    <w:left w:w="108" w:type="dxa"/>
                    <w:bottom w:w="0" w:type="dxa"/>
                    <w:right w:w="108" w:type="dxa"/>
                  </w:tcMar>
                  <w:hideMark/>
                </w:tcPr>
                <w:p w14:paraId="6EBA1BB7" w14:textId="77777777" w:rsidR="00365D1E" w:rsidRPr="00365D1E" w:rsidRDefault="00365D1E" w:rsidP="00365D1E">
                  <w:r w:rsidRPr="00365D1E">
                    <w:rPr>
                      <w:b/>
                      <w:bCs/>
                      <w:lang w:val="en-US"/>
                    </w:rPr>
                    <w:t>HDFC0000336</w:t>
                  </w:r>
                </w:p>
              </w:tc>
            </w:tr>
          </w:tbl>
          <w:p w14:paraId="7456D575" w14:textId="77777777" w:rsidR="00365D1E" w:rsidRPr="00365D1E" w:rsidRDefault="00365D1E" w:rsidP="00365D1E"/>
          <w:p w14:paraId="4247EA4E" w14:textId="77777777" w:rsidR="00365D1E" w:rsidRPr="00365D1E" w:rsidRDefault="00365D1E" w:rsidP="00365D1E">
            <w:r w:rsidRPr="00365D1E">
              <w:rPr>
                <w:b/>
                <w:bCs/>
                <w:u w:val="single"/>
              </w:rPr>
              <w:t>NOTE:</w:t>
            </w:r>
          </w:p>
          <w:p w14:paraId="5BF49577" w14:textId="77777777" w:rsidR="00365D1E" w:rsidRPr="00365D1E" w:rsidRDefault="00365D1E" w:rsidP="00365D1E">
            <w:r w:rsidRPr="00365D1E">
              <w:t>As per DOC, a company can avail MAI assistance up to a maximum of three times (including past cases) for a particular event.</w:t>
            </w:r>
          </w:p>
          <w:p w14:paraId="5116DBFB" w14:textId="77777777" w:rsidR="00365D1E" w:rsidRPr="00365D1E" w:rsidRDefault="00365D1E" w:rsidP="00365D1E">
            <w:r w:rsidRPr="00365D1E">
              <w:rPr>
                <w:b/>
                <w:bCs/>
                <w:u w:val="single"/>
              </w:rPr>
              <w:t>AIRFARE SUBSIDY</w:t>
            </w:r>
            <w:r w:rsidRPr="00365D1E">
              <w:rPr>
                <w:b/>
                <w:bCs/>
              </w:rPr>
              <w:t>:</w:t>
            </w:r>
          </w:p>
          <w:p w14:paraId="75021FA5" w14:textId="77777777" w:rsidR="00365D1E" w:rsidRPr="00365D1E" w:rsidRDefault="00365D1E" w:rsidP="00365D1E">
            <w:r w:rsidRPr="00365D1E">
              <w:t>Eligible companies will be entitled for reimbursement of economy class Airfare on submission of documents after the completion of the event. The amount of reimbursement shall be subject to the approval and quantum of funds approved by the Ministry for the said event maximum up to INR 1,50,000/- (Only One Person Per Company i.e. only to Director, Proprietor, Partner, regular officer of the company on senior managerial Position will be eligible for the Airfare Reimbursement).</w:t>
            </w:r>
            <w:r w:rsidRPr="00365D1E">
              <w:rPr>
                <w:b/>
                <w:bCs/>
              </w:rPr>
              <w:t> </w:t>
            </w:r>
          </w:p>
          <w:p w14:paraId="6D84F99F" w14:textId="77777777" w:rsidR="00365D1E" w:rsidRPr="00365D1E" w:rsidRDefault="00365D1E" w:rsidP="00365D1E">
            <w:r w:rsidRPr="00365D1E">
              <w:rPr>
                <w:b/>
                <w:bCs/>
                <w:u w:val="single"/>
              </w:rPr>
              <w:t>VISA:</w:t>
            </w:r>
          </w:p>
          <w:p w14:paraId="21692C32" w14:textId="77777777" w:rsidR="00365D1E" w:rsidRPr="00365D1E" w:rsidRDefault="00365D1E" w:rsidP="00365D1E">
            <w:r w:rsidRPr="00365D1E">
              <w:t>FIEO will issue the recommendation letter to the participants (Max 2 per company)</w:t>
            </w:r>
          </w:p>
          <w:p w14:paraId="5AD12F23" w14:textId="77777777" w:rsidR="00365D1E" w:rsidRPr="00365D1E" w:rsidRDefault="00365D1E" w:rsidP="00365D1E">
            <w:r w:rsidRPr="00365D1E">
              <w:rPr>
                <w:b/>
                <w:bCs/>
                <w:u w:val="single"/>
              </w:rPr>
              <w:t>PAYMENT &amp; REFUND POLICY:</w:t>
            </w:r>
          </w:p>
          <w:p w14:paraId="260A3BAA" w14:textId="77777777" w:rsidR="00365D1E" w:rsidRPr="00365D1E" w:rsidRDefault="00365D1E" w:rsidP="00365D1E">
            <w:r w:rsidRPr="00365D1E">
              <w:t xml:space="preserve">The participation charges are non-refundable in any case. Interested members are requested to kindly send us their confirmation as per the Registration Form(s) enclosed along with the participation fee (Non-Refundable). The payment may be made only through NEFT/RTGS details of which may be shared on request latest </w:t>
            </w:r>
            <w:r w:rsidRPr="00365D1E">
              <w:rPr>
                <w:b/>
                <w:bCs/>
                <w:u w:val="single"/>
              </w:rPr>
              <w:t>November 29, 2024</w:t>
            </w:r>
            <w:r w:rsidRPr="00365D1E">
              <w:t>. It may be informed that we have limited stalls and preference will be given on the basis of first-cum-first- served basis and on receipt of full participation fee. FIEO reserves the right to select the participants.</w:t>
            </w:r>
          </w:p>
          <w:p w14:paraId="719FBC73" w14:textId="77777777" w:rsidR="00365D1E" w:rsidRPr="00365D1E" w:rsidRDefault="00365D1E" w:rsidP="00365D1E">
            <w:r w:rsidRPr="00365D1E">
              <w:t>In case of any further queries, you may contact FIEO at +91-011-46042117/2157/2178 or 9899823043/8586848676 or by e-mail at </w:t>
            </w:r>
            <w:hyperlink r:id="rId6" w:history="1">
              <w:r w:rsidRPr="00365D1E">
                <w:rPr>
                  <w:rStyle w:val="Hyperlink"/>
                </w:rPr>
                <w:t>ashishjain@fieo.org</w:t>
              </w:r>
            </w:hyperlink>
            <w:r w:rsidRPr="00365D1E">
              <w:t xml:space="preserve">; </w:t>
            </w:r>
            <w:hyperlink r:id="rId7" w:history="1">
              <w:r w:rsidRPr="00365D1E">
                <w:rPr>
                  <w:rStyle w:val="Hyperlink"/>
                </w:rPr>
                <w:t>sunitatatwal@fieo.org</w:t>
              </w:r>
            </w:hyperlink>
            <w:r w:rsidRPr="00365D1E">
              <w:t xml:space="preserve">; </w:t>
            </w:r>
            <w:hyperlink r:id="rId8" w:history="1">
              <w:r w:rsidRPr="00365D1E">
                <w:rPr>
                  <w:rStyle w:val="Hyperlink"/>
                </w:rPr>
                <w:t>nishantkatyayan@fieo.org</w:t>
              </w:r>
            </w:hyperlink>
            <w:r w:rsidRPr="00365D1E">
              <w:t>.     </w:t>
            </w:r>
          </w:p>
          <w:p w14:paraId="180D83DD" w14:textId="77777777" w:rsidR="00365D1E" w:rsidRPr="00365D1E" w:rsidRDefault="00365D1E" w:rsidP="00365D1E">
            <w:r w:rsidRPr="00365D1E">
              <w:t>Warm regards,</w:t>
            </w:r>
          </w:p>
        </w:tc>
      </w:tr>
      <w:tr w:rsidR="00365D1E" w:rsidRPr="00365D1E" w14:paraId="0328C05B" w14:textId="77777777" w:rsidTr="00365D1E">
        <w:trPr>
          <w:tblCellSpacing w:w="15" w:type="dxa"/>
          <w:jc w:val="center"/>
        </w:trPr>
        <w:tc>
          <w:tcPr>
            <w:tcW w:w="8970" w:type="dxa"/>
            <w:tcMar>
              <w:top w:w="15" w:type="dxa"/>
              <w:left w:w="15" w:type="dxa"/>
              <w:bottom w:w="15" w:type="dxa"/>
              <w:right w:w="15" w:type="dxa"/>
            </w:tcMar>
            <w:vAlign w:val="center"/>
            <w:hideMark/>
          </w:tcPr>
          <w:p w14:paraId="5FFCDFF6" w14:textId="5A1BE0E0" w:rsidR="00365D1E" w:rsidRPr="00365D1E" w:rsidRDefault="00365D1E" w:rsidP="00365D1E">
            <w:r w:rsidRPr="00365D1E">
              <w:lastRenderedPageBreak/>
              <w:br/>
            </w:r>
            <w:r w:rsidRPr="00365D1E">
              <w:br/>
              <w:t>Yours sincerely</w:t>
            </w:r>
            <w:r w:rsidRPr="00365D1E">
              <w:br/>
            </w:r>
            <w:r w:rsidRPr="00365D1E">
              <w:lastRenderedPageBreak/>
              <w:drawing>
                <wp:inline distT="0" distB="0" distL="0" distR="0" wp14:anchorId="13228C9D" wp14:editId="1A48135F">
                  <wp:extent cx="819150" cy="336550"/>
                  <wp:effectExtent l="0" t="0" r="0" b="6350"/>
                  <wp:docPr id="127821426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336550"/>
                          </a:xfrm>
                          <a:prstGeom prst="rect">
                            <a:avLst/>
                          </a:prstGeom>
                          <a:noFill/>
                          <a:ln>
                            <a:noFill/>
                          </a:ln>
                        </pic:spPr>
                      </pic:pic>
                    </a:graphicData>
                  </a:graphic>
                </wp:inline>
              </w:drawing>
            </w:r>
            <w:r w:rsidRPr="00365D1E">
              <w:br/>
              <w:t>Dr. Ajay Sahai</w:t>
            </w:r>
            <w:r w:rsidRPr="00365D1E">
              <w:br/>
              <w:t>Director General &amp; CEO</w:t>
            </w:r>
          </w:p>
        </w:tc>
      </w:tr>
    </w:tbl>
    <w:p w14:paraId="12B72511" w14:textId="77777777" w:rsidR="001B19D2" w:rsidRDefault="001B19D2"/>
    <w:sectPr w:rsidR="001B1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351F3"/>
    <w:multiLevelType w:val="multilevel"/>
    <w:tmpl w:val="4530C65C"/>
    <w:styleLink w:val="Style7"/>
    <w:lvl w:ilvl="0">
      <w:start w:val="1"/>
      <w:numFmt w:val="none"/>
      <w:lvlText w:val="2.%1"/>
      <w:lvlJc w:val="left"/>
      <w:pPr>
        <w:ind w:left="2220" w:hanging="360"/>
      </w:pPr>
      <w:rPr>
        <w:rFonts w:ascii="Mongolian Baiti" w:hAnsi="Mongolian Baiti" w:hint="default"/>
        <w:sz w:val="22"/>
      </w:rPr>
    </w:lvl>
    <w:lvl w:ilvl="1">
      <w:start w:val="1"/>
      <w:numFmt w:val="lowerLetter"/>
      <w:lvlText w:val="%2."/>
      <w:lvlJc w:val="left"/>
      <w:pPr>
        <w:ind w:left="2940" w:hanging="360"/>
      </w:pPr>
      <w:rPr>
        <w:rFonts w:hint="default"/>
      </w:rPr>
    </w:lvl>
    <w:lvl w:ilvl="2">
      <w:start w:val="1"/>
      <w:numFmt w:val="lowerRoman"/>
      <w:lvlText w:val="%3."/>
      <w:lvlJc w:val="right"/>
      <w:pPr>
        <w:ind w:left="3660" w:hanging="180"/>
      </w:pPr>
      <w:rPr>
        <w:rFonts w:hint="default"/>
      </w:rPr>
    </w:lvl>
    <w:lvl w:ilvl="3">
      <w:start w:val="1"/>
      <w:numFmt w:val="decimal"/>
      <w:lvlText w:val="%4."/>
      <w:lvlJc w:val="left"/>
      <w:pPr>
        <w:ind w:left="4380" w:hanging="360"/>
      </w:pPr>
      <w:rPr>
        <w:rFonts w:hint="default"/>
      </w:rPr>
    </w:lvl>
    <w:lvl w:ilvl="4">
      <w:start w:val="1"/>
      <w:numFmt w:val="lowerLetter"/>
      <w:lvlText w:val="%5."/>
      <w:lvlJc w:val="left"/>
      <w:pPr>
        <w:ind w:left="5100" w:hanging="360"/>
      </w:pPr>
      <w:rPr>
        <w:rFonts w:hint="default"/>
      </w:rPr>
    </w:lvl>
    <w:lvl w:ilvl="5">
      <w:start w:val="1"/>
      <w:numFmt w:val="lowerRoman"/>
      <w:lvlText w:val="%6."/>
      <w:lvlJc w:val="right"/>
      <w:pPr>
        <w:ind w:left="5820" w:hanging="180"/>
      </w:pPr>
      <w:rPr>
        <w:rFonts w:hint="default"/>
      </w:rPr>
    </w:lvl>
    <w:lvl w:ilvl="6">
      <w:start w:val="1"/>
      <w:numFmt w:val="decimal"/>
      <w:lvlText w:val="%7."/>
      <w:lvlJc w:val="left"/>
      <w:pPr>
        <w:ind w:left="6540" w:hanging="360"/>
      </w:pPr>
      <w:rPr>
        <w:rFonts w:hint="default"/>
      </w:rPr>
    </w:lvl>
    <w:lvl w:ilvl="7">
      <w:start w:val="1"/>
      <w:numFmt w:val="lowerLetter"/>
      <w:lvlText w:val="%8."/>
      <w:lvlJc w:val="left"/>
      <w:pPr>
        <w:ind w:left="7260" w:hanging="360"/>
      </w:pPr>
      <w:rPr>
        <w:rFonts w:hint="default"/>
      </w:rPr>
    </w:lvl>
    <w:lvl w:ilvl="8">
      <w:start w:val="1"/>
      <w:numFmt w:val="lowerRoman"/>
      <w:lvlText w:val="%9."/>
      <w:lvlJc w:val="right"/>
      <w:pPr>
        <w:ind w:left="7980" w:hanging="180"/>
      </w:pPr>
      <w:rPr>
        <w:rFonts w:hint="default"/>
      </w:rPr>
    </w:lvl>
  </w:abstractNum>
  <w:abstractNum w:abstractNumId="1" w15:restartNumberingAfterBreak="0">
    <w:nsid w:val="67D53283"/>
    <w:multiLevelType w:val="multilevel"/>
    <w:tmpl w:val="4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1744399">
    <w:abstractNumId w:val="0"/>
  </w:num>
  <w:num w:numId="2" w16cid:durableId="576019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1E"/>
    <w:rsid w:val="00165563"/>
    <w:rsid w:val="001B19D2"/>
    <w:rsid w:val="00365D1E"/>
    <w:rsid w:val="003D41DA"/>
    <w:rsid w:val="00A43AE8"/>
    <w:rsid w:val="00AC4934"/>
    <w:rsid w:val="00AF74B2"/>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BE21"/>
  <w15:chartTrackingRefBased/>
  <w15:docId w15:val="{EBB51D49-0762-4499-869A-56E0DC88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7">
    <w:name w:val="Style7"/>
    <w:uiPriority w:val="99"/>
    <w:rsid w:val="00A43AE8"/>
    <w:pPr>
      <w:numPr>
        <w:numId w:val="1"/>
      </w:numPr>
    </w:pPr>
  </w:style>
  <w:style w:type="numbering" w:customStyle="1" w:styleId="Style1">
    <w:name w:val="Style1"/>
    <w:uiPriority w:val="99"/>
    <w:rsid w:val="00AC4934"/>
    <w:pPr>
      <w:numPr>
        <w:numId w:val="2"/>
      </w:numPr>
    </w:pPr>
  </w:style>
  <w:style w:type="character" w:styleId="Hyperlink">
    <w:name w:val="Hyperlink"/>
    <w:basedOn w:val="DefaultParagraphFont"/>
    <w:uiPriority w:val="99"/>
    <w:unhideWhenUsed/>
    <w:rsid w:val="00365D1E"/>
    <w:rPr>
      <w:color w:val="0563C1" w:themeColor="hyperlink"/>
      <w:u w:val="single"/>
    </w:rPr>
  </w:style>
  <w:style w:type="character" w:styleId="UnresolvedMention">
    <w:name w:val="Unresolved Mention"/>
    <w:basedOn w:val="DefaultParagraphFont"/>
    <w:uiPriority w:val="99"/>
    <w:semiHidden/>
    <w:unhideWhenUsed/>
    <w:rsid w:val="0036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4253">
      <w:bodyDiv w:val="1"/>
      <w:marLeft w:val="0"/>
      <w:marRight w:val="0"/>
      <w:marTop w:val="0"/>
      <w:marBottom w:val="0"/>
      <w:divBdr>
        <w:top w:val="none" w:sz="0" w:space="0" w:color="auto"/>
        <w:left w:val="none" w:sz="0" w:space="0" w:color="auto"/>
        <w:bottom w:val="none" w:sz="0" w:space="0" w:color="auto"/>
        <w:right w:val="none" w:sz="0" w:space="0" w:color="auto"/>
      </w:divBdr>
    </w:div>
    <w:div w:id="13694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antkatyayan@fieo.org" TargetMode="External"/><Relationship Id="rId3" Type="http://schemas.openxmlformats.org/officeDocument/2006/relationships/settings" Target="settings.xml"/><Relationship Id="rId7" Type="http://schemas.openxmlformats.org/officeDocument/2006/relationships/hyperlink" Target="mailto:sunitatatwal@fie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ishjain@fieo.org"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5409</Characters>
  <Application>Microsoft Office Word</Application>
  <DocSecurity>0</DocSecurity>
  <Lines>270</Lines>
  <Paragraphs>227</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Ancy Chacko</dc:creator>
  <cp:keywords/>
  <dc:description/>
  <cp:lastModifiedBy>Ancy Chacko</cp:lastModifiedBy>
  <cp:revision>1</cp:revision>
  <dcterms:created xsi:type="dcterms:W3CDTF">2024-10-09T06:07:00Z</dcterms:created>
  <dcterms:modified xsi:type="dcterms:W3CDTF">2024-10-09T06:07:00Z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78d79f7b-709d-43f1-ae51-da59d4960bda</vt:lpwstr>
  </property>
</Properties>
</file>